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郎海波</w:t>
      </w:r>
      <w:r>
        <w:rPr>
          <w:rFonts w:hint="eastAsia"/>
          <w:sz w:val="15"/>
          <w:szCs w:val="15"/>
          <w:highlight w:val="none"/>
        </w:rPr>
        <w:t>，</w:t>
      </w:r>
      <w:r>
        <w:rPr>
          <w:rFonts w:hint="eastAsia"/>
          <w:sz w:val="15"/>
          <w:szCs w:val="15"/>
          <w:highlight w:val="none"/>
          <w:lang w:val="en-US" w:eastAsia="zh-CN"/>
        </w:rPr>
        <w:t>130123197806106615</w:t>
      </w:r>
      <w:r>
        <w:rPr>
          <w:rFonts w:hint="eastAsia"/>
          <w:sz w:val="15"/>
          <w:szCs w:val="15"/>
        </w:rPr>
        <w:t xml:space="preserve">  </w:t>
      </w:r>
      <w:r>
        <w:rPr>
          <w:rFonts w:hint="eastAsia"/>
          <w:sz w:val="15"/>
          <w:szCs w:val="15"/>
          <w:lang w:val="en-US" w:eastAsia="zh-CN"/>
        </w:rPr>
        <w:t>冀A39312D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