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马建强</w:t>
      </w:r>
      <w:r>
        <w:rPr>
          <w:rFonts w:hint="eastAsia"/>
          <w:sz w:val="15"/>
          <w:szCs w:val="15"/>
          <w:highlight w:val="none"/>
        </w:rPr>
        <w:t>，</w:t>
      </w:r>
      <w:r>
        <w:rPr>
          <w:rFonts w:hint="eastAsia"/>
          <w:sz w:val="15"/>
          <w:szCs w:val="15"/>
          <w:highlight w:val="none"/>
          <w:lang w:val="en-US" w:eastAsia="zh-CN"/>
        </w:rPr>
        <w:t>130123197703233339</w:t>
      </w:r>
      <w:r>
        <w:rPr>
          <w:rFonts w:hint="eastAsia"/>
          <w:sz w:val="15"/>
          <w:szCs w:val="15"/>
        </w:rPr>
        <w:t xml:space="preserve">  </w:t>
      </w:r>
      <w:r>
        <w:rPr>
          <w:rFonts w:hint="eastAsia"/>
          <w:sz w:val="15"/>
          <w:szCs w:val="15"/>
          <w:lang w:val="en-US" w:eastAsia="zh-CN"/>
        </w:rPr>
        <w:t>冀A498AR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