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黄兴强</w:t>
      </w:r>
      <w:r>
        <w:rPr>
          <w:rFonts w:hint="eastAsia"/>
          <w:sz w:val="15"/>
          <w:szCs w:val="15"/>
          <w:highlight w:val="none"/>
        </w:rPr>
        <w:t>，</w:t>
      </w:r>
      <w:r>
        <w:rPr>
          <w:rFonts w:hint="eastAsia"/>
          <w:sz w:val="15"/>
          <w:szCs w:val="15"/>
          <w:highlight w:val="none"/>
          <w:lang w:val="en-US" w:eastAsia="zh-CN"/>
        </w:rPr>
        <w:t>130123197205030918</w:t>
      </w:r>
      <w:r>
        <w:rPr>
          <w:rFonts w:hint="eastAsia"/>
          <w:sz w:val="15"/>
          <w:szCs w:val="15"/>
        </w:rPr>
        <w:t xml:space="preserve">  </w:t>
      </w:r>
      <w:r>
        <w:rPr>
          <w:rFonts w:hint="eastAsia"/>
          <w:sz w:val="15"/>
          <w:szCs w:val="15"/>
          <w:lang w:val="en-US" w:eastAsia="zh-CN"/>
        </w:rPr>
        <w:t>沪A33267A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