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邢卫立</w:t>
      </w:r>
      <w:r>
        <w:rPr>
          <w:rFonts w:hint="eastAsia"/>
          <w:sz w:val="15"/>
          <w:szCs w:val="15"/>
          <w:highlight w:val="none"/>
        </w:rPr>
        <w:t>，</w:t>
      </w:r>
      <w:r>
        <w:rPr>
          <w:rFonts w:hint="eastAsia"/>
          <w:sz w:val="15"/>
          <w:szCs w:val="15"/>
          <w:highlight w:val="none"/>
          <w:lang w:val="en-US" w:eastAsia="zh-CN"/>
        </w:rPr>
        <w:t>130123197002240915</w:t>
      </w:r>
      <w:r>
        <w:rPr>
          <w:rFonts w:hint="eastAsia"/>
          <w:sz w:val="15"/>
          <w:szCs w:val="15"/>
        </w:rPr>
        <w:t xml:space="preserve">  </w:t>
      </w:r>
      <w:r>
        <w:rPr>
          <w:rFonts w:hint="eastAsia"/>
          <w:sz w:val="15"/>
          <w:szCs w:val="15"/>
          <w:lang w:val="en-US" w:eastAsia="zh-CN"/>
        </w:rPr>
        <w:t>冀AK8047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