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赵丽朝</w:t>
      </w:r>
      <w:r>
        <w:rPr>
          <w:rFonts w:hint="eastAsia"/>
          <w:sz w:val="15"/>
          <w:szCs w:val="15"/>
          <w:highlight w:val="none"/>
        </w:rPr>
        <w:t>，</w:t>
      </w:r>
      <w:r>
        <w:rPr>
          <w:rFonts w:hint="eastAsia"/>
          <w:sz w:val="15"/>
          <w:szCs w:val="15"/>
          <w:highlight w:val="none"/>
          <w:lang w:val="en-US" w:eastAsia="zh-CN"/>
        </w:rPr>
        <w:t>130122197602185917</w:t>
      </w:r>
      <w:r>
        <w:rPr>
          <w:rFonts w:hint="eastAsia"/>
          <w:sz w:val="15"/>
          <w:szCs w:val="15"/>
        </w:rPr>
        <w:t xml:space="preserve">  </w:t>
      </w:r>
      <w:r>
        <w:rPr>
          <w:rFonts w:hint="eastAsia"/>
          <w:sz w:val="15"/>
          <w:szCs w:val="15"/>
          <w:lang w:val="en-US" w:eastAsia="zh-CN"/>
        </w:rPr>
        <w:t>冀A03124D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