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吴跃博</w:t>
      </w:r>
      <w:r>
        <w:rPr>
          <w:rFonts w:hint="eastAsia"/>
          <w:sz w:val="15"/>
          <w:szCs w:val="15"/>
          <w:highlight w:val="none"/>
        </w:rPr>
        <w:t>，</w:t>
      </w:r>
      <w:r>
        <w:rPr>
          <w:rFonts w:hint="eastAsia"/>
          <w:sz w:val="15"/>
          <w:szCs w:val="15"/>
          <w:highlight w:val="none"/>
          <w:lang w:val="en-US" w:eastAsia="zh-CN"/>
        </w:rPr>
        <w:t>130121199912011018</w:t>
      </w:r>
      <w:r>
        <w:rPr>
          <w:rFonts w:hint="eastAsia"/>
          <w:sz w:val="15"/>
          <w:szCs w:val="15"/>
        </w:rPr>
        <w:t xml:space="preserve">  </w:t>
      </w:r>
      <w:r>
        <w:rPr>
          <w:rFonts w:hint="eastAsia"/>
          <w:sz w:val="15"/>
          <w:szCs w:val="15"/>
          <w:lang w:val="en-US" w:eastAsia="zh-CN"/>
        </w:rPr>
        <w:t>冀A47878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