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贾耀辉</w:t>
      </w:r>
      <w:r>
        <w:rPr>
          <w:rFonts w:hint="eastAsia"/>
          <w:sz w:val="15"/>
          <w:szCs w:val="15"/>
          <w:highlight w:val="none"/>
        </w:rPr>
        <w:t>，</w:t>
      </w:r>
      <w:r>
        <w:rPr>
          <w:rFonts w:hint="eastAsia"/>
          <w:sz w:val="15"/>
          <w:szCs w:val="15"/>
          <w:highlight w:val="none"/>
          <w:lang w:val="en-US" w:eastAsia="zh-CN"/>
        </w:rPr>
        <w:t>130121199108032811</w:t>
      </w:r>
      <w:r>
        <w:rPr>
          <w:rFonts w:hint="eastAsia"/>
          <w:sz w:val="15"/>
          <w:szCs w:val="15"/>
        </w:rPr>
        <w:t xml:space="preserve">  </w:t>
      </w:r>
      <w:r>
        <w:rPr>
          <w:rFonts w:hint="eastAsia"/>
          <w:sz w:val="15"/>
          <w:szCs w:val="15"/>
          <w:lang w:val="en-US" w:eastAsia="zh-CN"/>
        </w:rPr>
        <w:t>冀A647G6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