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冯立峰</w:t>
      </w:r>
      <w:r>
        <w:rPr>
          <w:rFonts w:hint="eastAsia"/>
          <w:sz w:val="15"/>
          <w:szCs w:val="15"/>
          <w:highlight w:val="none"/>
        </w:rPr>
        <w:t>，</w:t>
      </w:r>
      <w:r>
        <w:rPr>
          <w:rFonts w:hint="eastAsia"/>
          <w:sz w:val="15"/>
          <w:szCs w:val="15"/>
          <w:highlight w:val="none"/>
          <w:lang w:val="en-US" w:eastAsia="zh-CN"/>
        </w:rPr>
        <w:t>130121198907242650</w:t>
      </w:r>
      <w:r>
        <w:rPr>
          <w:rFonts w:hint="eastAsia"/>
          <w:sz w:val="15"/>
          <w:szCs w:val="15"/>
        </w:rPr>
        <w:t xml:space="preserve">  </w:t>
      </w:r>
      <w:r>
        <w:rPr>
          <w:rFonts w:hint="eastAsia"/>
          <w:sz w:val="15"/>
          <w:szCs w:val="15"/>
          <w:lang w:val="en-US" w:eastAsia="zh-CN"/>
        </w:rPr>
        <w:t>冀A05887D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