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张文杰</w:t>
      </w:r>
      <w:r>
        <w:rPr>
          <w:rFonts w:hint="eastAsia"/>
          <w:sz w:val="15"/>
          <w:szCs w:val="15"/>
          <w:highlight w:val="none"/>
        </w:rPr>
        <w:t>，</w:t>
      </w:r>
      <w:r>
        <w:rPr>
          <w:rFonts w:hint="eastAsia"/>
          <w:sz w:val="15"/>
          <w:szCs w:val="15"/>
          <w:highlight w:val="none"/>
          <w:lang w:val="en-US" w:eastAsia="zh-CN"/>
        </w:rPr>
        <w:t>130121198707172619</w:t>
      </w:r>
      <w:r>
        <w:rPr>
          <w:rFonts w:hint="eastAsia"/>
          <w:sz w:val="15"/>
          <w:szCs w:val="15"/>
        </w:rPr>
        <w:t xml:space="preserve">  </w:t>
      </w:r>
      <w:r>
        <w:rPr>
          <w:rFonts w:hint="eastAsia"/>
          <w:sz w:val="15"/>
          <w:szCs w:val="15"/>
          <w:lang w:val="en-US" w:eastAsia="zh-CN"/>
        </w:rPr>
        <w:t>沪A70580D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