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王吉</w:t>
      </w:r>
      <w:r>
        <w:rPr>
          <w:rFonts w:hint="eastAsia"/>
          <w:sz w:val="15"/>
          <w:szCs w:val="15"/>
          <w:highlight w:val="none"/>
        </w:rPr>
        <w:t>，</w:t>
      </w:r>
      <w:r>
        <w:rPr>
          <w:rFonts w:hint="eastAsia"/>
          <w:sz w:val="15"/>
          <w:szCs w:val="15"/>
          <w:highlight w:val="none"/>
          <w:lang w:val="en-US" w:eastAsia="zh-CN"/>
        </w:rPr>
        <w:t>130121198707030055</w:t>
      </w:r>
      <w:r>
        <w:rPr>
          <w:rFonts w:hint="eastAsia"/>
          <w:sz w:val="15"/>
          <w:szCs w:val="15"/>
        </w:rPr>
        <w:t xml:space="preserve">  </w:t>
      </w:r>
      <w:r>
        <w:rPr>
          <w:rFonts w:hint="eastAsia"/>
          <w:sz w:val="15"/>
          <w:szCs w:val="15"/>
          <w:lang w:val="en-US" w:eastAsia="zh-CN"/>
        </w:rPr>
        <w:t>冀A33315D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