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于飞飞</w:t>
      </w:r>
      <w:r>
        <w:rPr>
          <w:rFonts w:hint="eastAsia"/>
          <w:sz w:val="15"/>
          <w:szCs w:val="15"/>
          <w:highlight w:val="none"/>
        </w:rPr>
        <w:t>，</w:t>
      </w:r>
      <w:r>
        <w:rPr>
          <w:rFonts w:hint="eastAsia"/>
          <w:sz w:val="15"/>
          <w:szCs w:val="15"/>
          <w:highlight w:val="none"/>
          <w:lang w:val="en-US" w:eastAsia="zh-CN"/>
        </w:rPr>
        <w:t>13012119870630101X</w:t>
      </w:r>
      <w:r>
        <w:rPr>
          <w:rFonts w:hint="eastAsia"/>
          <w:sz w:val="15"/>
          <w:szCs w:val="15"/>
        </w:rPr>
        <w:t xml:space="preserve">  </w:t>
      </w:r>
      <w:r>
        <w:rPr>
          <w:rFonts w:hint="eastAsia"/>
          <w:sz w:val="15"/>
          <w:szCs w:val="15"/>
          <w:lang w:val="en-US" w:eastAsia="zh-CN"/>
        </w:rPr>
        <w:t>冀AQ3014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