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何利珍</w:t>
      </w:r>
      <w:r>
        <w:rPr>
          <w:rFonts w:hint="eastAsia"/>
          <w:sz w:val="15"/>
          <w:szCs w:val="15"/>
          <w:highlight w:val="none"/>
        </w:rPr>
        <w:t>，</w:t>
      </w:r>
      <w:r>
        <w:rPr>
          <w:rFonts w:hint="eastAsia"/>
          <w:sz w:val="15"/>
          <w:szCs w:val="15"/>
          <w:highlight w:val="none"/>
          <w:lang w:val="en-US" w:eastAsia="zh-CN"/>
        </w:rPr>
        <w:t>130121198704242626</w:t>
      </w:r>
      <w:r>
        <w:rPr>
          <w:rFonts w:hint="eastAsia"/>
          <w:sz w:val="15"/>
          <w:szCs w:val="15"/>
        </w:rPr>
        <w:t xml:space="preserve">  </w:t>
      </w:r>
      <w:r>
        <w:rPr>
          <w:rFonts w:hint="eastAsia"/>
          <w:sz w:val="15"/>
          <w:szCs w:val="15"/>
          <w:lang w:val="en-US" w:eastAsia="zh-CN"/>
        </w:rPr>
        <w:t>冀A982PH</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