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梁泽军</w:t>
      </w:r>
      <w:r>
        <w:rPr>
          <w:rFonts w:hint="eastAsia"/>
          <w:sz w:val="15"/>
          <w:szCs w:val="15"/>
          <w:highlight w:val="none"/>
        </w:rPr>
        <w:t>，</w:t>
      </w:r>
      <w:r>
        <w:rPr>
          <w:rFonts w:hint="eastAsia"/>
          <w:sz w:val="15"/>
          <w:szCs w:val="15"/>
          <w:highlight w:val="none"/>
          <w:lang w:val="en-US" w:eastAsia="zh-CN"/>
        </w:rPr>
        <w:t>130121198312081034</w:t>
      </w:r>
      <w:r>
        <w:rPr>
          <w:rFonts w:hint="eastAsia"/>
          <w:sz w:val="15"/>
          <w:szCs w:val="15"/>
        </w:rPr>
        <w:t xml:space="preserve">  </w:t>
      </w:r>
      <w:r>
        <w:rPr>
          <w:rFonts w:hint="eastAsia"/>
          <w:sz w:val="15"/>
          <w:szCs w:val="15"/>
          <w:lang w:val="en-US" w:eastAsia="zh-CN"/>
        </w:rPr>
        <w:t>冀A48325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