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尹文娟</w:t>
      </w:r>
      <w:r>
        <w:rPr>
          <w:rFonts w:hint="eastAsia"/>
          <w:sz w:val="15"/>
          <w:szCs w:val="15"/>
          <w:highlight w:val="none"/>
        </w:rPr>
        <w:t>，</w:t>
      </w:r>
      <w:r>
        <w:rPr>
          <w:rFonts w:hint="eastAsia"/>
          <w:sz w:val="15"/>
          <w:szCs w:val="15"/>
          <w:highlight w:val="none"/>
          <w:lang w:val="en-US" w:eastAsia="zh-CN"/>
        </w:rPr>
        <w:t>130121198207173025</w:t>
      </w:r>
      <w:r>
        <w:rPr>
          <w:rFonts w:hint="eastAsia"/>
          <w:sz w:val="15"/>
          <w:szCs w:val="15"/>
        </w:rPr>
        <w:t xml:space="preserve">  </w:t>
      </w:r>
      <w:r>
        <w:rPr>
          <w:rFonts w:hint="eastAsia"/>
          <w:sz w:val="15"/>
          <w:szCs w:val="15"/>
          <w:lang w:val="en-US" w:eastAsia="zh-CN"/>
        </w:rPr>
        <w:t>冀A9147V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