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许晋国</w:t>
      </w:r>
      <w:r>
        <w:rPr>
          <w:rFonts w:hint="eastAsia"/>
          <w:sz w:val="15"/>
          <w:szCs w:val="15"/>
          <w:highlight w:val="none"/>
        </w:rPr>
        <w:t>，</w:t>
      </w:r>
      <w:r>
        <w:rPr>
          <w:rFonts w:hint="eastAsia"/>
          <w:sz w:val="15"/>
          <w:szCs w:val="15"/>
          <w:highlight w:val="none"/>
          <w:lang w:val="en-US" w:eastAsia="zh-CN"/>
        </w:rPr>
        <w:t>130121198205171018</w:t>
      </w:r>
      <w:r>
        <w:rPr>
          <w:rFonts w:hint="eastAsia"/>
          <w:sz w:val="15"/>
          <w:szCs w:val="15"/>
        </w:rPr>
        <w:t xml:space="preserve">  </w:t>
      </w:r>
      <w:r>
        <w:rPr>
          <w:rFonts w:hint="eastAsia"/>
          <w:sz w:val="15"/>
          <w:szCs w:val="15"/>
          <w:lang w:val="en-US" w:eastAsia="zh-CN"/>
        </w:rPr>
        <w:t>冀AW6167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