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梁永刚</w:t>
      </w:r>
      <w:r>
        <w:rPr>
          <w:rFonts w:hint="eastAsia"/>
          <w:sz w:val="15"/>
          <w:szCs w:val="15"/>
          <w:highlight w:val="none"/>
        </w:rPr>
        <w:t>，</w:t>
      </w:r>
      <w:r>
        <w:rPr>
          <w:rFonts w:hint="eastAsia"/>
          <w:sz w:val="15"/>
          <w:szCs w:val="15"/>
          <w:highlight w:val="none"/>
          <w:lang w:val="en-US" w:eastAsia="zh-CN"/>
        </w:rPr>
        <w:t>130121198202170036</w:t>
      </w:r>
      <w:r>
        <w:rPr>
          <w:rFonts w:hint="eastAsia"/>
          <w:sz w:val="15"/>
          <w:szCs w:val="15"/>
        </w:rPr>
        <w:t xml:space="preserve">  </w:t>
      </w:r>
      <w:r>
        <w:rPr>
          <w:rFonts w:hint="eastAsia"/>
          <w:sz w:val="15"/>
          <w:szCs w:val="15"/>
          <w:lang w:val="en-US" w:eastAsia="zh-CN"/>
        </w:rPr>
        <w:t>冀A907A3</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