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张建萍</w:t>
      </w:r>
      <w:r>
        <w:rPr>
          <w:rFonts w:hint="eastAsia"/>
          <w:sz w:val="15"/>
          <w:szCs w:val="15"/>
          <w:highlight w:val="none"/>
        </w:rPr>
        <w:t>，</w:t>
      </w:r>
      <w:r>
        <w:rPr>
          <w:rFonts w:hint="eastAsia"/>
          <w:sz w:val="15"/>
          <w:szCs w:val="15"/>
          <w:highlight w:val="none"/>
          <w:lang w:val="en-US" w:eastAsia="zh-CN"/>
        </w:rPr>
        <w:t>13012119760205104X</w:t>
      </w:r>
      <w:r>
        <w:rPr>
          <w:rFonts w:hint="eastAsia"/>
          <w:sz w:val="15"/>
          <w:szCs w:val="15"/>
        </w:rPr>
        <w:t xml:space="preserve">  </w:t>
      </w:r>
      <w:r>
        <w:rPr>
          <w:rFonts w:hint="eastAsia"/>
          <w:sz w:val="15"/>
          <w:szCs w:val="15"/>
          <w:lang w:val="en-US" w:eastAsia="zh-CN"/>
        </w:rPr>
        <w:t>冀A664BC</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