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卢海洪</w:t>
      </w:r>
      <w:r>
        <w:rPr>
          <w:rFonts w:hint="eastAsia"/>
          <w:sz w:val="15"/>
          <w:szCs w:val="15"/>
          <w:highlight w:val="none"/>
        </w:rPr>
        <w:t>，</w:t>
      </w:r>
      <w:r>
        <w:rPr>
          <w:rFonts w:hint="eastAsia"/>
          <w:sz w:val="15"/>
          <w:szCs w:val="15"/>
          <w:highlight w:val="none"/>
          <w:lang w:val="en-US" w:eastAsia="zh-CN"/>
        </w:rPr>
        <w:t>130121197512301017</w:t>
      </w:r>
      <w:r>
        <w:rPr>
          <w:rFonts w:hint="eastAsia"/>
          <w:sz w:val="15"/>
          <w:szCs w:val="15"/>
        </w:rPr>
        <w:t xml:space="preserve">  </w:t>
      </w:r>
      <w:r>
        <w:rPr>
          <w:rFonts w:hint="eastAsia"/>
          <w:sz w:val="15"/>
          <w:szCs w:val="15"/>
          <w:lang w:val="en-US" w:eastAsia="zh-CN"/>
        </w:rPr>
        <w:t>冀A68107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