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冯建勇</w:t>
      </w:r>
      <w:r>
        <w:rPr>
          <w:rFonts w:hint="eastAsia"/>
          <w:sz w:val="15"/>
          <w:szCs w:val="15"/>
          <w:highlight w:val="none"/>
        </w:rPr>
        <w:t>，</w:t>
      </w:r>
      <w:r>
        <w:rPr>
          <w:rFonts w:hint="eastAsia"/>
          <w:sz w:val="15"/>
          <w:szCs w:val="15"/>
          <w:highlight w:val="none"/>
          <w:lang w:val="en-US" w:eastAsia="zh-CN"/>
        </w:rPr>
        <w:t>130121197509062617</w:t>
      </w:r>
      <w:r>
        <w:rPr>
          <w:rFonts w:hint="eastAsia"/>
          <w:sz w:val="15"/>
          <w:szCs w:val="15"/>
        </w:rPr>
        <w:t xml:space="preserve">  </w:t>
      </w:r>
      <w:r>
        <w:rPr>
          <w:rFonts w:hint="eastAsia"/>
          <w:sz w:val="15"/>
          <w:szCs w:val="15"/>
          <w:lang w:val="en-US" w:eastAsia="zh-CN"/>
        </w:rPr>
        <w:t>冀A01578D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