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刘怡凡</w:t>
      </w:r>
      <w:r>
        <w:rPr>
          <w:rFonts w:hint="eastAsia"/>
          <w:sz w:val="15"/>
          <w:szCs w:val="15"/>
          <w:highlight w:val="none"/>
        </w:rPr>
        <w:t>，</w:t>
      </w:r>
      <w:r>
        <w:rPr>
          <w:rFonts w:hint="eastAsia"/>
          <w:sz w:val="15"/>
          <w:szCs w:val="15"/>
          <w:highlight w:val="none"/>
          <w:lang w:val="en-US" w:eastAsia="zh-CN"/>
        </w:rPr>
        <w:t>130107200409171821</w:t>
      </w:r>
      <w:r>
        <w:rPr>
          <w:rFonts w:hint="eastAsia"/>
          <w:sz w:val="15"/>
          <w:szCs w:val="15"/>
        </w:rPr>
        <w:t xml:space="preserve">  </w:t>
      </w:r>
      <w:r>
        <w:rPr>
          <w:rFonts w:hint="eastAsia"/>
          <w:sz w:val="15"/>
          <w:szCs w:val="15"/>
          <w:lang w:val="en-US" w:eastAsia="zh-CN"/>
        </w:rPr>
        <w:t>冀AU8780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