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赵春花</w:t>
      </w:r>
      <w:r>
        <w:rPr>
          <w:rFonts w:hint="eastAsia"/>
          <w:sz w:val="15"/>
          <w:szCs w:val="15"/>
          <w:highlight w:val="none"/>
        </w:rPr>
        <w:t>，</w:t>
      </w:r>
      <w:r>
        <w:rPr>
          <w:rFonts w:hint="eastAsia"/>
          <w:sz w:val="15"/>
          <w:szCs w:val="15"/>
          <w:highlight w:val="none"/>
          <w:lang w:val="en-US" w:eastAsia="zh-CN"/>
        </w:rPr>
        <w:t>130107197502171522</w:t>
      </w:r>
      <w:r>
        <w:rPr>
          <w:rFonts w:hint="eastAsia"/>
          <w:sz w:val="15"/>
          <w:szCs w:val="15"/>
        </w:rPr>
        <w:t xml:space="preserve">  </w:t>
      </w:r>
      <w:r>
        <w:rPr>
          <w:rFonts w:hint="eastAsia"/>
          <w:sz w:val="15"/>
          <w:szCs w:val="15"/>
          <w:lang w:val="en-US" w:eastAsia="zh-CN"/>
        </w:rPr>
        <w:t>冀A28973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