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盖杉杉</w:t>
      </w:r>
      <w:r>
        <w:rPr>
          <w:rFonts w:hint="eastAsia"/>
          <w:sz w:val="15"/>
          <w:szCs w:val="15"/>
          <w:highlight w:val="none"/>
        </w:rPr>
        <w:t>，</w:t>
      </w:r>
      <w:r>
        <w:rPr>
          <w:rFonts w:hint="eastAsia"/>
          <w:sz w:val="15"/>
          <w:szCs w:val="15"/>
          <w:highlight w:val="none"/>
          <w:lang w:val="en-US" w:eastAsia="zh-CN"/>
        </w:rPr>
        <w:t>130185199107061823</w:t>
      </w:r>
      <w:r>
        <w:rPr>
          <w:rFonts w:hint="eastAsia"/>
          <w:sz w:val="15"/>
          <w:szCs w:val="15"/>
        </w:rPr>
        <w:t xml:space="preserve">  </w:t>
      </w:r>
      <w:r>
        <w:rPr>
          <w:rFonts w:hint="eastAsia"/>
          <w:sz w:val="15"/>
          <w:szCs w:val="15"/>
          <w:lang w:val="en-US" w:eastAsia="zh-CN"/>
        </w:rPr>
        <w:t>冀A55237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