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韩树兵</w:t>
      </w:r>
      <w:r>
        <w:rPr>
          <w:rFonts w:hint="eastAsia"/>
          <w:sz w:val="15"/>
          <w:szCs w:val="15"/>
          <w:highlight w:val="none"/>
        </w:rPr>
        <w:t>，</w:t>
      </w:r>
      <w:r>
        <w:rPr>
          <w:rFonts w:hint="eastAsia"/>
          <w:sz w:val="15"/>
          <w:szCs w:val="15"/>
          <w:highlight w:val="none"/>
          <w:lang w:val="en-US" w:eastAsia="zh-CN"/>
        </w:rPr>
        <w:t>13018519810503283X</w:t>
      </w:r>
      <w:r>
        <w:rPr>
          <w:rFonts w:hint="eastAsia"/>
          <w:sz w:val="15"/>
          <w:szCs w:val="15"/>
        </w:rPr>
        <w:t xml:space="preserve">  </w:t>
      </w:r>
      <w:r>
        <w:rPr>
          <w:rFonts w:hint="eastAsia"/>
          <w:sz w:val="15"/>
          <w:szCs w:val="15"/>
          <w:lang w:val="en-US" w:eastAsia="zh-CN"/>
        </w:rPr>
        <w:t>冀ATH779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