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孙进朝</w:t>
      </w:r>
      <w:r>
        <w:rPr>
          <w:rFonts w:hint="eastAsia"/>
          <w:sz w:val="15"/>
          <w:szCs w:val="15"/>
          <w:highlight w:val="none"/>
        </w:rPr>
        <w:t>，</w:t>
      </w:r>
      <w:r>
        <w:rPr>
          <w:rFonts w:hint="eastAsia"/>
          <w:sz w:val="15"/>
          <w:szCs w:val="15"/>
          <w:highlight w:val="none"/>
          <w:lang w:val="en-US" w:eastAsia="zh-CN"/>
        </w:rPr>
        <w:t>130131198208180019</w:t>
      </w:r>
      <w:r>
        <w:rPr>
          <w:rFonts w:hint="eastAsia"/>
          <w:sz w:val="15"/>
          <w:szCs w:val="15"/>
        </w:rPr>
        <w:t xml:space="preserve">  </w:t>
      </w:r>
      <w:r>
        <w:rPr>
          <w:rFonts w:hint="eastAsia"/>
          <w:sz w:val="15"/>
          <w:szCs w:val="15"/>
          <w:lang w:val="en-US" w:eastAsia="zh-CN"/>
        </w:rPr>
        <w:t>冀A37016D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