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董丽霞</w:t>
      </w:r>
      <w:r>
        <w:rPr>
          <w:rFonts w:hint="eastAsia"/>
          <w:sz w:val="15"/>
          <w:szCs w:val="15"/>
          <w:highlight w:val="none"/>
        </w:rPr>
        <w:t>，</w:t>
      </w:r>
      <w:r>
        <w:rPr>
          <w:rFonts w:hint="eastAsia"/>
          <w:sz w:val="15"/>
          <w:szCs w:val="15"/>
          <w:highlight w:val="none"/>
          <w:lang w:val="en-US" w:eastAsia="zh-CN"/>
        </w:rPr>
        <w:t>130126198308270029</w:t>
      </w:r>
      <w:r>
        <w:rPr>
          <w:rFonts w:hint="eastAsia"/>
          <w:sz w:val="15"/>
          <w:szCs w:val="15"/>
        </w:rPr>
        <w:t xml:space="preserve">  </w:t>
      </w:r>
      <w:r>
        <w:rPr>
          <w:rFonts w:hint="eastAsia"/>
          <w:sz w:val="15"/>
          <w:szCs w:val="15"/>
          <w:lang w:val="en-US" w:eastAsia="zh-CN"/>
        </w:rPr>
        <w:t>冀AL2437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