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谷志军</w:t>
      </w:r>
      <w:r>
        <w:rPr>
          <w:rFonts w:hint="eastAsia"/>
          <w:sz w:val="15"/>
          <w:szCs w:val="15"/>
          <w:highlight w:val="none"/>
        </w:rPr>
        <w:t>，</w:t>
      </w:r>
      <w:r>
        <w:rPr>
          <w:rFonts w:hint="eastAsia"/>
          <w:sz w:val="15"/>
          <w:szCs w:val="15"/>
          <w:highlight w:val="none"/>
          <w:lang w:val="en-US" w:eastAsia="zh-CN"/>
        </w:rPr>
        <w:t>130121198403202436</w:t>
      </w:r>
      <w:r>
        <w:rPr>
          <w:rFonts w:hint="eastAsia"/>
          <w:sz w:val="15"/>
          <w:szCs w:val="15"/>
        </w:rPr>
        <w:t xml:space="preserve">  </w:t>
      </w:r>
      <w:r>
        <w:rPr>
          <w:rFonts w:hint="eastAsia"/>
          <w:sz w:val="15"/>
          <w:szCs w:val="15"/>
          <w:lang w:val="en-US" w:eastAsia="zh-CN"/>
        </w:rPr>
        <w:t>冀A59L01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