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刘艳艮</w:t>
      </w:r>
      <w:r>
        <w:rPr>
          <w:rFonts w:hint="eastAsia"/>
          <w:sz w:val="15"/>
          <w:szCs w:val="15"/>
          <w:highlight w:val="none"/>
        </w:rPr>
        <w:t>，</w:t>
      </w:r>
      <w:r>
        <w:rPr>
          <w:rFonts w:hint="eastAsia"/>
          <w:sz w:val="15"/>
          <w:szCs w:val="15"/>
          <w:highlight w:val="none"/>
          <w:lang w:val="en-US" w:eastAsia="zh-CN"/>
        </w:rPr>
        <w:t>130126198806131005</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