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赵二旦</w:t>
      </w:r>
      <w:r>
        <w:rPr>
          <w:rFonts w:hint="eastAsia"/>
          <w:sz w:val="15"/>
          <w:szCs w:val="15"/>
          <w:highlight w:val="none"/>
        </w:rPr>
        <w:t>，</w:t>
      </w:r>
      <w:r>
        <w:rPr>
          <w:rFonts w:hint="eastAsia"/>
          <w:sz w:val="15"/>
          <w:szCs w:val="15"/>
          <w:highlight w:val="none"/>
          <w:lang w:val="en-US" w:eastAsia="zh-CN"/>
        </w:rPr>
        <w:t>132336196811021317</w:t>
      </w:r>
      <w:r>
        <w:rPr>
          <w:rFonts w:hint="eastAsia"/>
          <w:sz w:val="15"/>
          <w:szCs w:val="15"/>
        </w:rPr>
        <w:t xml:space="preserve">  </w:t>
      </w:r>
      <w:r>
        <w:rPr>
          <w:rFonts w:hint="eastAsia"/>
          <w:sz w:val="15"/>
          <w:szCs w:val="15"/>
          <w:lang w:val="en-US" w:eastAsia="zh-CN"/>
        </w:rPr>
        <w:t>冀APT724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