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刘建蓉</w:t>
      </w:r>
      <w:r>
        <w:rPr>
          <w:rFonts w:hint="eastAsia"/>
          <w:sz w:val="15"/>
          <w:szCs w:val="15"/>
          <w:highlight w:val="none"/>
        </w:rPr>
        <w:t>，</w:t>
      </w:r>
      <w:r>
        <w:rPr>
          <w:rFonts w:hint="eastAsia"/>
          <w:sz w:val="15"/>
          <w:szCs w:val="15"/>
          <w:highlight w:val="none"/>
          <w:lang w:val="en-US" w:eastAsia="zh-CN"/>
        </w:rPr>
        <w:t>140112198209100415</w:t>
      </w:r>
      <w:r>
        <w:rPr>
          <w:rFonts w:hint="eastAsia"/>
          <w:sz w:val="15"/>
          <w:szCs w:val="15"/>
        </w:rPr>
        <w:t xml:space="preserve">  </w:t>
      </w:r>
      <w:r>
        <w:rPr>
          <w:rFonts w:hint="eastAsia"/>
          <w:sz w:val="15"/>
          <w:szCs w:val="15"/>
          <w:lang w:val="en-US" w:eastAsia="zh-CN"/>
        </w:rPr>
        <w:t>晋A07278D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