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梁艳龙</w:t>
      </w:r>
      <w:r>
        <w:rPr>
          <w:rFonts w:hint="eastAsia"/>
          <w:sz w:val="15"/>
          <w:szCs w:val="15"/>
          <w:highlight w:val="none"/>
        </w:rPr>
        <w:t>，</w:t>
      </w:r>
      <w:r>
        <w:rPr>
          <w:rFonts w:hint="eastAsia"/>
          <w:sz w:val="15"/>
          <w:szCs w:val="15"/>
          <w:highlight w:val="none"/>
          <w:lang w:val="en-US" w:eastAsia="zh-CN"/>
        </w:rPr>
        <w:t>130131198609212114</w:t>
      </w:r>
      <w:r>
        <w:rPr>
          <w:rFonts w:hint="eastAsia"/>
          <w:sz w:val="15"/>
          <w:szCs w:val="15"/>
        </w:rPr>
        <w:t xml:space="preserve">  </w:t>
      </w:r>
      <w:r>
        <w:rPr>
          <w:rFonts w:hint="eastAsia"/>
          <w:sz w:val="15"/>
          <w:szCs w:val="15"/>
          <w:lang w:val="en-US" w:eastAsia="zh-CN"/>
        </w:rPr>
        <w:t>沪A96035D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