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徐巧虎</w:t>
      </w:r>
      <w:r>
        <w:rPr>
          <w:rFonts w:hint="eastAsia"/>
          <w:sz w:val="15"/>
          <w:szCs w:val="15"/>
          <w:highlight w:val="none"/>
        </w:rPr>
        <w:t>，</w:t>
      </w:r>
      <w:r>
        <w:rPr>
          <w:rFonts w:hint="eastAsia"/>
          <w:sz w:val="15"/>
          <w:szCs w:val="15"/>
          <w:highlight w:val="none"/>
          <w:lang w:val="en-US" w:eastAsia="zh-CN"/>
        </w:rPr>
        <w:t>13012619871109271X</w:t>
      </w:r>
      <w:r>
        <w:rPr>
          <w:rFonts w:hint="eastAsia"/>
          <w:sz w:val="15"/>
          <w:szCs w:val="15"/>
        </w:rPr>
        <w:t xml:space="preserve">  </w:t>
      </w:r>
      <w:r>
        <w:rPr>
          <w:rFonts w:hint="eastAsia"/>
          <w:sz w:val="15"/>
          <w:szCs w:val="15"/>
          <w:lang w:val="en-US" w:eastAsia="zh-CN"/>
        </w:rPr>
        <w:t>冀A44403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