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段丽鹏</w:t>
      </w:r>
      <w:r>
        <w:rPr>
          <w:rFonts w:hint="eastAsia"/>
          <w:sz w:val="15"/>
          <w:szCs w:val="15"/>
          <w:highlight w:val="none"/>
        </w:rPr>
        <w:t>，</w:t>
      </w:r>
      <w:r>
        <w:rPr>
          <w:rFonts w:hint="eastAsia"/>
          <w:sz w:val="15"/>
          <w:szCs w:val="15"/>
          <w:highlight w:val="none"/>
          <w:lang w:val="en-US" w:eastAsia="zh-CN"/>
        </w:rPr>
        <w:t>130121198908251217</w:t>
      </w:r>
      <w:r>
        <w:rPr>
          <w:rFonts w:hint="eastAsia"/>
          <w:sz w:val="15"/>
          <w:szCs w:val="15"/>
        </w:rPr>
        <w:t xml:space="preserve">  </w:t>
      </w:r>
      <w:r>
        <w:rPr>
          <w:rFonts w:hint="eastAsia"/>
          <w:sz w:val="15"/>
          <w:szCs w:val="15"/>
          <w:lang w:val="en-US" w:eastAsia="zh-CN"/>
        </w:rPr>
        <w:t>冀A44180D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