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张五梅</w:t>
      </w:r>
      <w:r>
        <w:rPr>
          <w:rFonts w:hint="eastAsia"/>
          <w:sz w:val="15"/>
          <w:szCs w:val="15"/>
          <w:highlight w:val="none"/>
        </w:rPr>
        <w:t>，</w:t>
      </w:r>
      <w:r>
        <w:rPr>
          <w:rFonts w:hint="eastAsia"/>
          <w:sz w:val="15"/>
          <w:szCs w:val="15"/>
          <w:highlight w:val="none"/>
          <w:lang w:val="en-US" w:eastAsia="zh-CN"/>
        </w:rPr>
        <w:t>132335196906073068</w:t>
      </w:r>
      <w:r>
        <w:rPr>
          <w:rFonts w:hint="eastAsia"/>
          <w:sz w:val="15"/>
          <w:szCs w:val="15"/>
        </w:rPr>
        <w:t xml:space="preserve">  </w:t>
      </w:r>
      <w:r>
        <w:rPr>
          <w:rFonts w:hint="eastAsia"/>
          <w:sz w:val="15"/>
          <w:szCs w:val="15"/>
          <w:lang w:val="en-US" w:eastAsia="zh-CN"/>
        </w:rPr>
        <w:t>冀A06858D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