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樊胜平</w:t>
      </w:r>
      <w:r>
        <w:rPr>
          <w:rFonts w:hint="eastAsia"/>
          <w:sz w:val="15"/>
          <w:szCs w:val="15"/>
          <w:highlight w:val="none"/>
        </w:rPr>
        <w:t>，</w:t>
      </w:r>
      <w:r>
        <w:rPr>
          <w:rFonts w:hint="eastAsia"/>
          <w:sz w:val="15"/>
          <w:szCs w:val="15"/>
          <w:highlight w:val="none"/>
          <w:lang w:val="en-US" w:eastAsia="zh-CN"/>
        </w:rPr>
        <w:t>130131198812113920</w:t>
      </w:r>
      <w:r>
        <w:rPr>
          <w:rFonts w:hint="eastAsia"/>
          <w:sz w:val="15"/>
          <w:szCs w:val="15"/>
        </w:rPr>
        <w:t xml:space="preserve">  </w:t>
      </w:r>
      <w:r>
        <w:rPr>
          <w:rFonts w:hint="eastAsia"/>
          <w:sz w:val="15"/>
          <w:szCs w:val="15"/>
          <w:lang w:val="en-US" w:eastAsia="zh-CN"/>
        </w:rPr>
        <w:t>冀A07638D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