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王翠翠</w:t>
      </w:r>
      <w:r>
        <w:rPr>
          <w:rFonts w:hint="eastAsia"/>
          <w:sz w:val="15"/>
          <w:szCs w:val="15"/>
          <w:highlight w:val="none"/>
        </w:rPr>
        <w:t>，</w:t>
      </w:r>
      <w:r>
        <w:rPr>
          <w:rFonts w:hint="eastAsia"/>
          <w:sz w:val="15"/>
          <w:szCs w:val="15"/>
          <w:highlight w:val="none"/>
          <w:lang w:val="en-US" w:eastAsia="zh-CN"/>
        </w:rPr>
        <w:t>130123198206240049</w:t>
      </w:r>
      <w:r>
        <w:rPr>
          <w:rFonts w:hint="eastAsia"/>
          <w:sz w:val="15"/>
          <w:szCs w:val="15"/>
        </w:rPr>
        <w:t xml:space="preserve">  </w:t>
      </w:r>
      <w:r>
        <w:rPr>
          <w:rFonts w:hint="eastAsia"/>
          <w:sz w:val="15"/>
          <w:szCs w:val="15"/>
          <w:lang w:val="en-US" w:eastAsia="zh-CN"/>
        </w:rPr>
        <w:t>冀A60228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