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华振锋</w:t>
      </w:r>
      <w:r>
        <w:rPr>
          <w:rFonts w:hint="eastAsia"/>
          <w:sz w:val="15"/>
          <w:szCs w:val="15"/>
          <w:highlight w:val="none"/>
        </w:rPr>
        <w:t>，</w:t>
      </w:r>
      <w:r>
        <w:rPr>
          <w:rFonts w:hint="eastAsia"/>
          <w:sz w:val="15"/>
          <w:szCs w:val="15"/>
          <w:highlight w:val="none"/>
          <w:lang w:val="en-US" w:eastAsia="zh-CN"/>
        </w:rPr>
        <w:t>441822197707076110</w:t>
      </w:r>
      <w:r>
        <w:rPr>
          <w:rFonts w:hint="eastAsia"/>
          <w:sz w:val="15"/>
          <w:szCs w:val="15"/>
        </w:rPr>
        <w:t xml:space="preserve">  </w:t>
      </w:r>
      <w:r>
        <w:rPr>
          <w:rFonts w:hint="eastAsia"/>
          <w:sz w:val="15"/>
          <w:szCs w:val="15"/>
          <w:lang w:val="en-US" w:eastAsia="zh-CN"/>
        </w:rPr>
        <w:t>粤R50971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