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饶昌荣</w:t>
      </w:r>
      <w:r>
        <w:rPr>
          <w:rFonts w:hint="eastAsia"/>
          <w:sz w:val="15"/>
          <w:szCs w:val="15"/>
          <w:highlight w:val="none"/>
        </w:rPr>
        <w:t>，</w:t>
      </w:r>
      <w:r>
        <w:rPr>
          <w:rFonts w:hint="eastAsia"/>
          <w:sz w:val="15"/>
          <w:szCs w:val="15"/>
          <w:highlight w:val="none"/>
          <w:lang w:val="en-US" w:eastAsia="zh-CN"/>
        </w:rPr>
        <w:t>44022519760602451X</w:t>
      </w:r>
      <w:r>
        <w:rPr>
          <w:rFonts w:hint="eastAsia"/>
          <w:sz w:val="15"/>
          <w:szCs w:val="15"/>
        </w:rPr>
        <w:t xml:space="preserve">  </w:t>
      </w:r>
      <w:r>
        <w:rPr>
          <w:rFonts w:hint="eastAsia"/>
          <w:sz w:val="15"/>
          <w:szCs w:val="15"/>
          <w:lang w:val="en-US" w:eastAsia="zh-CN"/>
        </w:rPr>
        <w:t>粤F52097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