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徐銮涵</w:t>
      </w:r>
      <w:r>
        <w:rPr>
          <w:rFonts w:hint="eastAsia"/>
          <w:sz w:val="15"/>
          <w:szCs w:val="15"/>
          <w:highlight w:val="none"/>
        </w:rPr>
        <w:t>，</w:t>
      </w:r>
      <w:r>
        <w:rPr>
          <w:rFonts w:hint="eastAsia"/>
          <w:sz w:val="15"/>
          <w:szCs w:val="15"/>
          <w:highlight w:val="none"/>
          <w:lang w:val="en-US" w:eastAsia="zh-CN"/>
        </w:rPr>
        <w:t>440221197901151911</w:t>
      </w:r>
      <w:r>
        <w:rPr>
          <w:rFonts w:hint="eastAsia"/>
          <w:sz w:val="15"/>
          <w:szCs w:val="15"/>
        </w:rPr>
        <w:t xml:space="preserve">  </w:t>
      </w:r>
      <w:r>
        <w:rPr>
          <w:rFonts w:hint="eastAsia"/>
          <w:sz w:val="15"/>
          <w:szCs w:val="15"/>
          <w:lang w:val="en-US" w:eastAsia="zh-CN"/>
        </w:rPr>
        <w:t>粤F27883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