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谭晓亮</w:t>
      </w:r>
      <w:r>
        <w:rPr>
          <w:rFonts w:hint="eastAsia"/>
          <w:sz w:val="15"/>
          <w:szCs w:val="15"/>
          <w:highlight w:val="none"/>
        </w:rPr>
        <w:t>，</w:t>
      </w:r>
      <w:r>
        <w:rPr>
          <w:rFonts w:hint="eastAsia"/>
          <w:sz w:val="15"/>
          <w:szCs w:val="15"/>
          <w:highlight w:val="none"/>
          <w:lang w:val="en-US" w:eastAsia="zh-CN"/>
        </w:rPr>
        <w:t>220822199002152811</w:t>
      </w:r>
      <w:r>
        <w:rPr>
          <w:rFonts w:hint="eastAsia"/>
          <w:sz w:val="15"/>
          <w:szCs w:val="15"/>
        </w:rPr>
        <w:t xml:space="preserve">  </w:t>
      </w:r>
      <w:r>
        <w:rPr>
          <w:rFonts w:hint="eastAsia"/>
          <w:sz w:val="15"/>
          <w:szCs w:val="15"/>
          <w:lang w:val="en-US" w:eastAsia="zh-CN"/>
        </w:rPr>
        <w:t>冀J7J965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