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田柳南</w:t>
      </w:r>
      <w:r>
        <w:rPr>
          <w:rFonts w:hint="eastAsia"/>
          <w:sz w:val="15"/>
          <w:szCs w:val="15"/>
          <w:highlight w:val="none"/>
        </w:rPr>
        <w:t>，</w:t>
      </w:r>
      <w:r>
        <w:rPr>
          <w:rFonts w:hint="eastAsia"/>
          <w:sz w:val="15"/>
          <w:szCs w:val="15"/>
          <w:highlight w:val="none"/>
          <w:lang w:val="en-US" w:eastAsia="zh-CN"/>
        </w:rPr>
        <w:t>220211198503051510</w:t>
      </w:r>
      <w:r>
        <w:rPr>
          <w:rFonts w:hint="eastAsia"/>
          <w:sz w:val="15"/>
          <w:szCs w:val="15"/>
        </w:rPr>
        <w:t xml:space="preserve">  </w:t>
      </w:r>
      <w:r>
        <w:rPr>
          <w:rFonts w:hint="eastAsia"/>
          <w:sz w:val="15"/>
          <w:szCs w:val="15"/>
          <w:lang w:val="en-US" w:eastAsia="zh-CN"/>
        </w:rPr>
        <w:t>辽GL1844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