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岳晓晓</w:t>
      </w:r>
      <w:r>
        <w:rPr>
          <w:rFonts w:hint="eastAsia"/>
          <w:sz w:val="15"/>
          <w:szCs w:val="15"/>
          <w:highlight w:val="none"/>
        </w:rPr>
        <w:t>，</w:t>
      </w:r>
      <w:r>
        <w:rPr>
          <w:rFonts w:hint="eastAsia"/>
          <w:sz w:val="15"/>
          <w:szCs w:val="15"/>
          <w:highlight w:val="none"/>
          <w:lang w:val="en-US" w:eastAsia="zh-CN"/>
        </w:rPr>
        <w:t>142323198608291011</w:t>
      </w:r>
      <w:r>
        <w:rPr>
          <w:rFonts w:hint="eastAsia"/>
          <w:sz w:val="15"/>
          <w:szCs w:val="15"/>
        </w:rPr>
        <w:t xml:space="preserve">  </w:t>
      </w:r>
      <w:r>
        <w:rPr>
          <w:rFonts w:hint="eastAsia"/>
          <w:sz w:val="15"/>
          <w:szCs w:val="15"/>
          <w:lang w:val="en-US" w:eastAsia="zh-CN"/>
        </w:rPr>
        <w:t>晋KZ9858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