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张瑞华</w:t>
      </w:r>
      <w:r>
        <w:rPr>
          <w:rFonts w:hint="eastAsia"/>
          <w:sz w:val="15"/>
          <w:szCs w:val="15"/>
          <w:highlight w:val="none"/>
        </w:rPr>
        <w:t>，</w:t>
      </w:r>
      <w:r>
        <w:rPr>
          <w:rFonts w:hint="eastAsia"/>
          <w:sz w:val="15"/>
          <w:szCs w:val="15"/>
          <w:highlight w:val="none"/>
          <w:lang w:val="en-US" w:eastAsia="zh-CN"/>
        </w:rPr>
        <w:t>140322198710145119</w:t>
      </w:r>
      <w:r>
        <w:rPr>
          <w:rFonts w:hint="eastAsia"/>
          <w:sz w:val="15"/>
          <w:szCs w:val="15"/>
        </w:rPr>
        <w:t xml:space="preserve">  </w:t>
      </w:r>
      <w:r>
        <w:rPr>
          <w:rFonts w:hint="eastAsia"/>
          <w:sz w:val="15"/>
          <w:szCs w:val="15"/>
          <w:lang w:val="en-US" w:eastAsia="zh-CN"/>
        </w:rPr>
        <w:t>晋C35011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