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王成</w:t>
      </w:r>
      <w:r>
        <w:rPr>
          <w:rFonts w:hint="eastAsia"/>
          <w:sz w:val="15"/>
          <w:szCs w:val="15"/>
          <w:highlight w:val="none"/>
        </w:rPr>
        <w:t>，</w:t>
      </w:r>
      <w:r>
        <w:rPr>
          <w:rFonts w:hint="eastAsia"/>
          <w:sz w:val="15"/>
          <w:szCs w:val="15"/>
          <w:highlight w:val="none"/>
          <w:lang w:val="en-US" w:eastAsia="zh-CN"/>
        </w:rPr>
        <w:t>140322198708303018</w:t>
      </w:r>
      <w:r>
        <w:rPr>
          <w:rFonts w:hint="eastAsia"/>
          <w:sz w:val="15"/>
          <w:szCs w:val="15"/>
        </w:rPr>
        <w:t xml:space="preserve">  </w:t>
      </w:r>
      <w:r>
        <w:rPr>
          <w:rFonts w:hint="eastAsia"/>
          <w:sz w:val="15"/>
          <w:szCs w:val="15"/>
          <w:lang w:val="en-US" w:eastAsia="zh-CN"/>
        </w:rPr>
        <w:t>晋C34566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