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高彦军</w:t>
      </w:r>
      <w:r>
        <w:rPr>
          <w:rFonts w:hint="eastAsia"/>
          <w:sz w:val="15"/>
          <w:szCs w:val="15"/>
          <w:highlight w:val="none"/>
        </w:rPr>
        <w:t>，</w:t>
      </w:r>
      <w:r>
        <w:rPr>
          <w:rFonts w:hint="eastAsia"/>
          <w:sz w:val="15"/>
          <w:szCs w:val="15"/>
          <w:highlight w:val="none"/>
          <w:lang w:val="en-US" w:eastAsia="zh-CN"/>
        </w:rPr>
        <w:t>140322198703250332</w:t>
      </w:r>
      <w:r>
        <w:rPr>
          <w:rFonts w:hint="eastAsia"/>
          <w:sz w:val="15"/>
          <w:szCs w:val="15"/>
        </w:rPr>
        <w:t xml:space="preserve">  </w:t>
      </w:r>
      <w:r>
        <w:rPr>
          <w:rFonts w:hint="eastAsia"/>
          <w:sz w:val="15"/>
          <w:szCs w:val="15"/>
          <w:lang w:val="en-US" w:eastAsia="zh-CN"/>
        </w:rPr>
        <w:t>晋C11025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