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古件红</w:t>
      </w:r>
      <w:r>
        <w:rPr>
          <w:rFonts w:hint="eastAsia"/>
          <w:sz w:val="15"/>
          <w:szCs w:val="15"/>
          <w:highlight w:val="none"/>
        </w:rPr>
        <w:t>，</w:t>
      </w:r>
      <w:r>
        <w:rPr>
          <w:rFonts w:hint="eastAsia"/>
          <w:sz w:val="15"/>
          <w:szCs w:val="15"/>
          <w:highlight w:val="none"/>
          <w:lang w:val="en-US" w:eastAsia="zh-CN"/>
        </w:rPr>
        <w:t>140322197608021510</w:t>
      </w:r>
      <w:r>
        <w:rPr>
          <w:rFonts w:hint="eastAsia"/>
          <w:sz w:val="15"/>
          <w:szCs w:val="15"/>
        </w:rPr>
        <w:t xml:space="preserve">  </w:t>
      </w:r>
      <w:r>
        <w:rPr>
          <w:rFonts w:hint="eastAsia"/>
          <w:sz w:val="15"/>
          <w:szCs w:val="15"/>
          <w:lang w:val="en-US" w:eastAsia="zh-CN"/>
        </w:rPr>
        <w:t>冀A69A90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