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孙伟豪</w:t>
      </w:r>
      <w:r>
        <w:rPr>
          <w:rFonts w:hint="eastAsia"/>
          <w:sz w:val="15"/>
          <w:szCs w:val="15"/>
          <w:highlight w:val="none"/>
        </w:rPr>
        <w:t>，</w:t>
      </w:r>
      <w:r>
        <w:rPr>
          <w:rFonts w:hint="eastAsia"/>
          <w:sz w:val="15"/>
          <w:szCs w:val="15"/>
          <w:highlight w:val="none"/>
          <w:lang w:val="en-US" w:eastAsia="zh-CN"/>
        </w:rPr>
        <w:t>140121200204287539</w:t>
      </w:r>
      <w:r>
        <w:rPr>
          <w:rFonts w:hint="eastAsia"/>
          <w:sz w:val="15"/>
          <w:szCs w:val="15"/>
        </w:rPr>
        <w:t xml:space="preserve">  </w:t>
      </w:r>
      <w:r>
        <w:rPr>
          <w:rFonts w:hint="eastAsia"/>
          <w:sz w:val="15"/>
          <w:szCs w:val="15"/>
          <w:lang w:val="en-US" w:eastAsia="zh-CN"/>
        </w:rPr>
        <w:t>晋A06875D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