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刘燕雷</w:t>
      </w:r>
      <w:r>
        <w:rPr>
          <w:rFonts w:hint="eastAsia"/>
          <w:sz w:val="15"/>
          <w:szCs w:val="15"/>
          <w:highlight w:val="none"/>
        </w:rPr>
        <w:t>，</w:t>
      </w:r>
      <w:r>
        <w:rPr>
          <w:rFonts w:hint="eastAsia"/>
          <w:sz w:val="15"/>
          <w:szCs w:val="15"/>
          <w:highlight w:val="none"/>
          <w:lang w:val="en-US" w:eastAsia="zh-CN"/>
        </w:rPr>
        <w:t>140121199702050811</w:t>
      </w:r>
      <w:r>
        <w:rPr>
          <w:rFonts w:hint="eastAsia"/>
          <w:sz w:val="15"/>
          <w:szCs w:val="15"/>
        </w:rPr>
        <w:t xml:space="preserve">  </w:t>
      </w:r>
      <w:r>
        <w:rPr>
          <w:rFonts w:hint="eastAsia"/>
          <w:sz w:val="15"/>
          <w:szCs w:val="15"/>
          <w:lang w:val="en-US" w:eastAsia="zh-CN"/>
        </w:rPr>
        <w:t>晋A07315D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