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洛志刚</w:t>
      </w:r>
      <w:r>
        <w:rPr>
          <w:rFonts w:hint="eastAsia"/>
          <w:sz w:val="15"/>
          <w:szCs w:val="15"/>
          <w:highlight w:val="none"/>
        </w:rPr>
        <w:t>，</w:t>
      </w:r>
      <w:r>
        <w:rPr>
          <w:rFonts w:hint="eastAsia"/>
          <w:sz w:val="15"/>
          <w:szCs w:val="15"/>
          <w:highlight w:val="none"/>
          <w:lang w:val="en-US" w:eastAsia="zh-CN"/>
        </w:rPr>
        <w:t>140121197804099019</w:t>
      </w:r>
      <w:r>
        <w:rPr>
          <w:rFonts w:hint="eastAsia"/>
          <w:sz w:val="15"/>
          <w:szCs w:val="15"/>
        </w:rPr>
        <w:t xml:space="preserve">  </w:t>
      </w:r>
      <w:r>
        <w:rPr>
          <w:rFonts w:hint="eastAsia"/>
          <w:sz w:val="15"/>
          <w:szCs w:val="15"/>
          <w:lang w:val="en-US" w:eastAsia="zh-CN"/>
        </w:rPr>
        <w:t>晋AW6808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