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段永亮</w:t>
      </w:r>
      <w:r>
        <w:rPr>
          <w:rFonts w:hint="eastAsia"/>
          <w:sz w:val="15"/>
          <w:szCs w:val="15"/>
          <w:highlight w:val="none"/>
        </w:rPr>
        <w:t>，</w:t>
      </w:r>
      <w:r>
        <w:rPr>
          <w:rFonts w:hint="eastAsia"/>
          <w:sz w:val="15"/>
          <w:szCs w:val="15"/>
          <w:highlight w:val="none"/>
          <w:lang w:val="en-US" w:eastAsia="zh-CN"/>
        </w:rPr>
        <w:t>140121196908119032</w:t>
      </w:r>
      <w:r>
        <w:rPr>
          <w:rFonts w:hint="eastAsia"/>
          <w:sz w:val="15"/>
          <w:szCs w:val="15"/>
        </w:rPr>
        <w:t xml:space="preserve">  </w:t>
      </w:r>
      <w:r>
        <w:rPr>
          <w:rFonts w:hint="eastAsia"/>
          <w:sz w:val="15"/>
          <w:szCs w:val="15"/>
          <w:lang w:val="en-US" w:eastAsia="zh-CN"/>
        </w:rPr>
        <w:t>晋AP7779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