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汤永红</w:t>
      </w:r>
      <w:r>
        <w:rPr>
          <w:rFonts w:hint="eastAsia"/>
          <w:sz w:val="15"/>
          <w:szCs w:val="15"/>
          <w:highlight w:val="none"/>
        </w:rPr>
        <w:t>，</w:t>
      </w:r>
      <w:r>
        <w:rPr>
          <w:rFonts w:hint="eastAsia"/>
          <w:sz w:val="15"/>
          <w:szCs w:val="15"/>
          <w:highlight w:val="none"/>
          <w:lang w:val="en-US" w:eastAsia="zh-CN"/>
        </w:rPr>
        <w:t>140110198505222019</w:t>
      </w:r>
      <w:r>
        <w:rPr>
          <w:rFonts w:hint="eastAsia"/>
          <w:sz w:val="15"/>
          <w:szCs w:val="15"/>
        </w:rPr>
        <w:t xml:space="preserve">  </w:t>
      </w:r>
      <w:r>
        <w:rPr>
          <w:rFonts w:hint="eastAsia"/>
          <w:sz w:val="15"/>
          <w:szCs w:val="15"/>
          <w:lang w:val="en-US" w:eastAsia="zh-CN"/>
        </w:rPr>
        <w:t>晋A06385D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